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2363C5">
        <w:rPr>
          <w:rFonts w:cs="Arial"/>
        </w:rPr>
        <w:t>October 25</w:t>
      </w:r>
      <w:r w:rsidR="00FD64BF" w:rsidRPr="00250555">
        <w:rPr>
          <w:rFonts w:cs="Arial"/>
        </w:rPr>
        <w:t xml:space="preserve">, </w:t>
      </w:r>
      <w:r w:rsidR="002363C5">
        <w:rPr>
          <w:rFonts w:cs="Arial"/>
        </w:rPr>
        <w:t>2016</w:t>
      </w:r>
      <w:r w:rsidR="00BC46B9" w:rsidRPr="00250555">
        <w:rPr>
          <w:rFonts w:cs="Arial"/>
          <w:b/>
        </w:rPr>
        <w:br/>
        <w:t>Name of Product:</w:t>
      </w:r>
      <w:r w:rsidR="00BC46B9" w:rsidRPr="00250555">
        <w:rPr>
          <w:rFonts w:cs="Arial"/>
        </w:rPr>
        <w:t xml:space="preserve"> </w:t>
      </w:r>
      <w:r w:rsidR="002363C5">
        <w:rPr>
          <w:rFonts w:cs="Arial"/>
        </w:rPr>
        <w:t>Cisco WebEx Support Center WBS31 – Agent Interface</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3F49D1" w:rsidP="002363C5">
            <w:pPr>
              <w:rPr>
                <w:rFonts w:cs="Arial"/>
                <w:sz w:val="20"/>
                <w:szCs w:val="20"/>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2363C5"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2363C5"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2363C5">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960A9D" w:rsidP="00565AC6">
            <w:pPr>
              <w:rPr>
                <w:rFonts w:cs="Arial"/>
              </w:rPr>
            </w:pPr>
            <w:r>
              <w:rPr>
                <w:rFonts w:cs="Arial"/>
                <w:sz w:val="20"/>
                <w:szCs w:val="20"/>
              </w:rPr>
              <w:t xml:space="preserve">Not </w:t>
            </w:r>
            <w:r w:rsidR="003F49D1" w:rsidRPr="00250555">
              <w:rPr>
                <w:rFonts w:cs="Arial"/>
                <w:sz w:val="20"/>
                <w:szCs w:val="20"/>
              </w:rPr>
              <w:t>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D6146F">
        <w:rPr>
          <w:rFonts w:cs="Arial"/>
          <w:sz w:val="18"/>
          <w:szCs w:val="18"/>
        </w:rPr>
        <w:t>: October 25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FB068B" w:rsidRDefault="002363C5" w:rsidP="00FB068B">
      <w:pPr>
        <w:rPr>
          <w:rFonts w:cs="Arial"/>
        </w:rPr>
      </w:pPr>
      <w:r>
        <w:rPr>
          <w:rFonts w:cs="Arial"/>
        </w:rPr>
        <w:t>Cisco WebEx Support Center WBS31 – Agent Interface</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0" w:name="Title_2"/>
            <w:bookmarkEnd w:id="10"/>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B7E26" w:rsidRPr="00250555" w:rsidTr="009437F0">
        <w:trPr>
          <w:trHeight w:val="103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9A6418" w:rsidRDefault="006B7E26" w:rsidP="006B7E26">
            <w:pPr>
              <w:rPr>
                <w:rFonts w:cs="Arial"/>
                <w:bCs/>
                <w:sz w:val="20"/>
                <w:szCs w:val="20"/>
              </w:rPr>
            </w:pPr>
            <w:r>
              <w:rPr>
                <w:rFonts w:cs="Arial"/>
                <w:sz w:val="20"/>
                <w:szCs w:val="20"/>
              </w:rPr>
              <w:t>Many menus and elements are not able to be navigated to by keyboard.</w:t>
            </w:r>
          </w:p>
        </w:tc>
      </w:tr>
      <w:tr w:rsidR="006B7E26" w:rsidRPr="00250555" w:rsidTr="009437F0">
        <w:trPr>
          <w:trHeight w:val="2078"/>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p>
        </w:tc>
      </w:tr>
      <w:tr w:rsidR="006B7E26" w:rsidRPr="00250555" w:rsidTr="009437F0">
        <w:trPr>
          <w:trHeight w:val="103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Some elements are not able to receive focus and do not fully support screen reader software.</w:t>
            </w:r>
          </w:p>
        </w:tc>
      </w:tr>
      <w:tr w:rsidR="006B7E26" w:rsidRPr="00250555" w:rsidTr="009437F0">
        <w:trPr>
          <w:trHeight w:val="129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B7E26" w:rsidRPr="00250555" w:rsidTr="009437F0">
        <w:trPr>
          <w:trHeight w:val="103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color w:val="000000"/>
                <w:sz w:val="20"/>
                <w:szCs w:val="20"/>
              </w:rPr>
              <w:t>Many</w:t>
            </w:r>
            <w:r w:rsidRPr="00656E94">
              <w:rPr>
                <w:rFonts w:cs="Arial"/>
                <w:color w:val="000000"/>
                <w:sz w:val="20"/>
                <w:szCs w:val="20"/>
              </w:rPr>
              <w:t xml:space="preserv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 keyboard navigation or</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B7E26" w:rsidRPr="00250555" w:rsidTr="009437F0">
        <w:trPr>
          <w:trHeight w:val="103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Some textual contents do not fully support screen reader software.</w:t>
            </w:r>
            <w:r w:rsidRPr="0069792D">
              <w:rPr>
                <w:rFonts w:cs="Arial"/>
                <w:sz w:val="20"/>
                <w:szCs w:val="20"/>
              </w:rPr>
              <w:t> </w:t>
            </w:r>
          </w:p>
        </w:tc>
      </w:tr>
      <w:tr w:rsidR="006B7E26" w:rsidRPr="00250555" w:rsidTr="009437F0">
        <w:trPr>
          <w:trHeight w:val="51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Product does not fully inherit high contrast settings in most areas.</w:t>
            </w:r>
          </w:p>
        </w:tc>
      </w:tr>
      <w:tr w:rsidR="006B7E26" w:rsidRPr="00250555" w:rsidTr="009437F0">
        <w:trPr>
          <w:trHeight w:val="77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Animations are used to indicate ongoing audio input levels and do not have a non-animated or text equivalent.</w:t>
            </w:r>
            <w:r w:rsidRPr="00250555">
              <w:rPr>
                <w:rFonts w:cs="Arial"/>
                <w:sz w:val="20"/>
                <w:szCs w:val="20"/>
              </w:rPr>
              <w:t> </w:t>
            </w:r>
          </w:p>
        </w:tc>
      </w:tr>
      <w:tr w:rsidR="006B7E26" w:rsidRPr="00250555" w:rsidTr="009437F0">
        <w:trPr>
          <w:trHeight w:val="77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p>
        </w:tc>
      </w:tr>
      <w:tr w:rsidR="006B7E26" w:rsidRPr="00250555" w:rsidTr="009437F0">
        <w:trPr>
          <w:trHeight w:val="77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6B7E26" w:rsidRPr="00250555" w:rsidTr="009437F0">
        <w:trPr>
          <w:trHeight w:val="77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p>
        </w:tc>
      </w:tr>
      <w:tr w:rsidR="006B7E26" w:rsidRPr="00250555" w:rsidTr="009437F0">
        <w:trPr>
          <w:trHeight w:val="1039"/>
        </w:trPr>
        <w:tc>
          <w:tcPr>
            <w:tcW w:w="1601" w:type="dxa"/>
            <w:tcBorders>
              <w:top w:val="nil"/>
              <w:left w:val="single" w:sz="4" w:space="0" w:color="auto"/>
              <w:bottom w:val="single" w:sz="4" w:space="0" w:color="auto"/>
              <w:right w:val="single" w:sz="4" w:space="0" w:color="auto"/>
            </w:tcBorders>
          </w:tcPr>
          <w:p w:rsidR="006B7E26" w:rsidRPr="00250555" w:rsidRDefault="006B7E26" w:rsidP="006B7E26">
            <w:pPr>
              <w:rPr>
                <w:rFonts w:cs="Arial"/>
                <w:sz w:val="20"/>
                <w:szCs w:val="20"/>
              </w:rPr>
            </w:pPr>
            <w:r w:rsidRPr="00250555">
              <w:rPr>
                <w:rFonts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6B7E26" w:rsidRPr="00250555" w:rsidRDefault="006B7E26" w:rsidP="006B7E26">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B7E26" w:rsidRPr="00250555" w:rsidRDefault="006B7E26" w:rsidP="006B7E26">
            <w:pPr>
              <w:rPr>
                <w:rFonts w:cs="Arial"/>
                <w:sz w:val="20"/>
                <w:szCs w:val="20"/>
              </w:rPr>
            </w:pPr>
            <w:r>
              <w:rPr>
                <w:rFonts w:cs="Arial"/>
                <w:sz w:val="20"/>
                <w:szCs w:val="20"/>
              </w:rPr>
              <w:t>Some form elements are not fully supported by screen reader software.</w:t>
            </w:r>
            <w:r w:rsidRPr="00250555">
              <w:rPr>
                <w:rFonts w:cs="Arial"/>
                <w:sz w:val="20"/>
                <w:szCs w:val="20"/>
              </w:rPr>
              <w:t> </w:t>
            </w:r>
          </w:p>
        </w:tc>
      </w:tr>
    </w:tbl>
    <w:p w:rsidR="0069792D" w:rsidRDefault="0069792D" w:rsidP="0069792D">
      <w:pPr>
        <w:rPr>
          <w:rFonts w:cs="Arial"/>
        </w:rPr>
      </w:pPr>
    </w:p>
    <w:p w:rsidR="0000631D" w:rsidRDefault="0000631D">
      <w:pPr>
        <w:rPr>
          <w:rFonts w:cs="Arial"/>
        </w:rPr>
      </w:pPr>
      <w:r>
        <w:rPr>
          <w:rFonts w:cs="Arial"/>
        </w:rPr>
        <w:br w:type="page"/>
      </w:r>
    </w:p>
    <w:p w:rsidR="006C1FEE" w:rsidRPr="00250555" w:rsidRDefault="006C1FEE" w:rsidP="00C566CF">
      <w:pPr>
        <w:pStyle w:val="Heading1"/>
        <w:rPr>
          <w:rFonts w:cs="Arial"/>
        </w:rPr>
      </w:pPr>
      <w:bookmarkStart w:id="11" w:name="_GoBack"/>
      <w:bookmarkEnd w:id="2"/>
      <w:bookmarkEnd w:id="3"/>
      <w:bookmarkEnd w:id="4"/>
      <w:bookmarkEnd w:id="5"/>
      <w:bookmarkEnd w:id="6"/>
      <w:bookmarkEnd w:id="7"/>
      <w:bookmarkEnd w:id="8"/>
      <w:bookmarkEnd w:id="9"/>
      <w:bookmarkEnd w:id="11"/>
      <w:r w:rsidRPr="00250555">
        <w:rPr>
          <w:rFonts w:cs="Arial"/>
        </w:rPr>
        <w:lastRenderedPageBreak/>
        <w:t>Section 1194.23</w:t>
      </w:r>
      <w:r w:rsidR="00A11662" w:rsidRPr="00250555">
        <w:rPr>
          <w:rFonts w:cs="Arial"/>
        </w:rPr>
        <w:t>:</w:t>
      </w:r>
      <w:r w:rsidRPr="00250555">
        <w:rPr>
          <w:rFonts w:cs="Arial"/>
        </w:rPr>
        <w:t xml:space="preserve"> Telecommunications Products</w:t>
      </w:r>
      <w:r w:rsidR="00D74B5D" w:rsidRPr="00250555">
        <w:rPr>
          <w:rFonts w:cs="Arial"/>
        </w:rPr>
        <w:t xml:space="preserve"> - Detail</w:t>
      </w:r>
    </w:p>
    <w:tbl>
      <w:tblPr>
        <w:tblW w:w="12435" w:type="dxa"/>
        <w:tblInd w:w="93" w:type="dxa"/>
        <w:tblLayout w:type="fixed"/>
        <w:tblCellMar>
          <w:left w:w="115" w:type="dxa"/>
          <w:right w:w="115" w:type="dxa"/>
        </w:tblCellMar>
        <w:tblLook w:val="00A0" w:firstRow="1" w:lastRow="0" w:firstColumn="1" w:lastColumn="0" w:noHBand="0" w:noVBand="0"/>
        <w:tblCaption w:val="Section 1194.23: Telecommunications Products - Detail"/>
        <w:tblDescription w:val="Section 1194.23: Telecommunications Products - Detail"/>
      </w:tblPr>
      <w:tblGrid>
        <w:gridCol w:w="1635"/>
        <w:gridCol w:w="5670"/>
        <w:gridCol w:w="2250"/>
        <w:gridCol w:w="2880"/>
      </w:tblGrid>
      <w:tr w:rsidR="006C1FEE" w:rsidRPr="00250555" w:rsidTr="009437F0">
        <w:trPr>
          <w:trHeight w:val="288"/>
        </w:trPr>
        <w:tc>
          <w:tcPr>
            <w:tcW w:w="163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Clause</w:t>
            </w:r>
            <w:bookmarkStart w:id="12" w:name="Title_5"/>
            <w:bookmarkEnd w:id="12"/>
          </w:p>
        </w:tc>
        <w:tc>
          <w:tcPr>
            <w:tcW w:w="567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6C1FEE" w:rsidP="00482C76">
            <w:pPr>
              <w:rPr>
                <w:rFonts w:cs="Arial"/>
                <w:b/>
                <w:bCs/>
                <w:color w:val="FFFFFF"/>
                <w:sz w:val="20"/>
                <w:szCs w:val="20"/>
              </w:rPr>
            </w:pPr>
            <w:r w:rsidRPr="00250555">
              <w:rPr>
                <w:rFonts w:cs="Arial"/>
                <w:b/>
                <w:bCs/>
                <w:color w:val="FFFFFF"/>
                <w:sz w:val="20"/>
                <w:szCs w:val="20"/>
              </w:rPr>
              <w:t>Criteria</w:t>
            </w:r>
          </w:p>
        </w:tc>
        <w:tc>
          <w:tcPr>
            <w:tcW w:w="225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E453E2" w:rsidP="00482C76">
            <w:pPr>
              <w:rPr>
                <w:rFonts w:cs="Arial"/>
                <w:b/>
                <w:bCs/>
                <w:color w:val="FFFFFF"/>
                <w:sz w:val="20"/>
                <w:szCs w:val="20"/>
              </w:rPr>
            </w:pPr>
            <w:r w:rsidRPr="00250555">
              <w:rPr>
                <w:rFonts w:cs="Arial"/>
                <w:b/>
                <w:bCs/>
                <w:color w:val="FFFFFF"/>
                <w:sz w:val="20"/>
                <w:szCs w:val="20"/>
              </w:rPr>
              <w:t>Status</w:t>
            </w:r>
          </w:p>
        </w:tc>
        <w:tc>
          <w:tcPr>
            <w:tcW w:w="2880"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6C1FEE" w:rsidRPr="00250555" w:rsidRDefault="004D3E59" w:rsidP="00482C76">
            <w:pPr>
              <w:rPr>
                <w:rFonts w:cs="Arial"/>
                <w:b/>
                <w:bCs/>
                <w:color w:val="FFFFFF"/>
                <w:sz w:val="20"/>
                <w:szCs w:val="20"/>
              </w:rPr>
            </w:pPr>
            <w:r w:rsidRPr="00250555">
              <w:rPr>
                <w:rFonts w:cs="Arial"/>
                <w:b/>
                <w:bCs/>
                <w:color w:val="FFFFFF"/>
                <w:sz w:val="20"/>
                <w:szCs w:val="20"/>
              </w:rPr>
              <w:t>Remarks and Explanations</w:t>
            </w:r>
          </w:p>
        </w:tc>
      </w:tr>
      <w:tr w:rsidR="00945DEB" w:rsidRPr="00250555" w:rsidTr="00945DEB">
        <w:trPr>
          <w:trHeight w:val="1457"/>
        </w:trPr>
        <w:tc>
          <w:tcPr>
            <w:tcW w:w="1635" w:type="dxa"/>
            <w:tcBorders>
              <w:top w:val="single" w:sz="4" w:space="0" w:color="000000"/>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1194.23(a)</w:t>
            </w:r>
          </w:p>
        </w:tc>
        <w:tc>
          <w:tcPr>
            <w:tcW w:w="5670" w:type="dxa"/>
            <w:tcBorders>
              <w:top w:val="single" w:sz="4" w:space="0" w:color="000000"/>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2250" w:type="dxa"/>
            <w:tcBorders>
              <w:top w:val="single" w:sz="4" w:space="0" w:color="000000"/>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Supports Through Equivalent Facilitation</w:t>
            </w:r>
          </w:p>
          <w:p w:rsidR="00945DEB" w:rsidRDefault="00945DEB" w:rsidP="00945DEB">
            <w:pPr>
              <w:rPr>
                <w:rFonts w:cs="Arial"/>
                <w:sz w:val="20"/>
                <w:szCs w:val="20"/>
              </w:rPr>
            </w:pPr>
          </w:p>
          <w:p w:rsidR="00945DEB" w:rsidRDefault="00945DEB" w:rsidP="00945DEB">
            <w:pPr>
              <w:rPr>
                <w:rFonts w:cs="Arial"/>
                <w:sz w:val="20"/>
                <w:szCs w:val="20"/>
              </w:rPr>
            </w:pPr>
          </w:p>
          <w:p w:rsidR="00945DEB" w:rsidRPr="007320F8" w:rsidRDefault="00945DEB" w:rsidP="00945DEB">
            <w:pPr>
              <w:rPr>
                <w:rFonts w:cs="Arial"/>
                <w:sz w:val="20"/>
                <w:szCs w:val="20"/>
              </w:rPr>
            </w:pPr>
          </w:p>
        </w:tc>
        <w:tc>
          <w:tcPr>
            <w:tcW w:w="2880" w:type="dxa"/>
            <w:tcBorders>
              <w:top w:val="single" w:sz="4" w:space="0" w:color="000000"/>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 xml:space="preserve">Text conversation capabilities are built in. </w:t>
            </w:r>
          </w:p>
        </w:tc>
      </w:tr>
      <w:tr w:rsidR="00945DEB" w:rsidRPr="00250555" w:rsidTr="00945DE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1194.23(b)</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Telecommunications products which include voice communication functionality shall support all commonly used cross-manufacturer non-proprietary standard TTY signal protocols.</w:t>
            </w:r>
          </w:p>
        </w:tc>
        <w:tc>
          <w:tcPr>
            <w:tcW w:w="225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 xml:space="preserve">Text conversation capabilities are built in. </w:t>
            </w:r>
          </w:p>
        </w:tc>
      </w:tr>
      <w:tr w:rsidR="00945DEB" w:rsidRPr="00250555" w:rsidTr="00945DEB">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1194.23(c)</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Voice mail, auto-attendant, and interactive voice response telecommunications systems shall be usable by TTY users with their TTYs.</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is not one of these types of systems.</w:t>
            </w:r>
          </w:p>
        </w:tc>
      </w:tr>
      <w:tr w:rsidR="00945DEB" w:rsidRPr="00250555" w:rsidTr="00945DEB">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1194.23(d)</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is not one of these types of systems.</w:t>
            </w:r>
          </w:p>
        </w:tc>
      </w:tr>
      <w:tr w:rsidR="00945DEB" w:rsidRPr="00250555" w:rsidTr="00945DEB">
        <w:trPr>
          <w:trHeight w:val="71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1194.23(e)</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Where provided, caller identification and similar telecommunications functions shall also be available for users of TTYs, and for users who cannot see displays.</w:t>
            </w:r>
          </w:p>
        </w:tc>
        <w:tc>
          <w:tcPr>
            <w:tcW w:w="225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provides access to all analogous information.</w:t>
            </w:r>
          </w:p>
        </w:tc>
      </w:tr>
      <w:tr w:rsidR="00945DEB" w:rsidRPr="00250555" w:rsidTr="00945DE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1194.23(f)</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For transmitted voice signals, telecommunications products shall provide a gain adjustable up to a minimum of 20 dB. For incremental volume control, at least one intermediate step of 12 dB of gain shall be provided.</w:t>
            </w:r>
          </w:p>
        </w:tc>
        <w:tc>
          <w:tcPr>
            <w:tcW w:w="225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uses computer's audio capabilities</w:t>
            </w:r>
          </w:p>
        </w:tc>
      </w:tr>
      <w:tr w:rsidR="00945DEB" w:rsidRPr="00250555" w:rsidTr="00945DEB">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lastRenderedPageBreak/>
              <w:t>1194.23(g)</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If the telecommunications product allows a user to adjust the receive volume, a function shall be provided to automatically reset the volume to the default level after every use.</w:t>
            </w:r>
          </w:p>
        </w:tc>
        <w:tc>
          <w:tcPr>
            <w:tcW w:w="225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Supports Through Equivalent Facilitation</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uses computer's audio capabilities</w:t>
            </w:r>
          </w:p>
        </w:tc>
      </w:tr>
      <w:tr w:rsidR="00945DEB" w:rsidRPr="00250555" w:rsidTr="00945DE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1194.23(h)</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Where a telecommunications product delivers output by an audio transducer which is normally held up to the ear, a means for effective magnetic wireless coupling to hearing technologies shall be provided.</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a hardware product.</w:t>
            </w:r>
          </w:p>
        </w:tc>
      </w:tr>
      <w:tr w:rsidR="00945DEB" w:rsidRPr="00250555" w:rsidTr="00945DEB">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1194.23(i)</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Interference to hearing technologies (including hearing aids, cochlear implants, and assistive listening devices) shall be reduced to the lowest possible level that allows a user of hearing technologies to utilize the telecommunications product.</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Product uses computer's audio capabilities</w:t>
            </w:r>
          </w:p>
        </w:tc>
      </w:tr>
      <w:tr w:rsidR="00945DEB" w:rsidRPr="00250555" w:rsidTr="00945DEB">
        <w:trPr>
          <w:trHeight w:val="1952"/>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1194.23(j)</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transformation, or similar techniques shall not remove information needed for access or shall restore it upon delivery.</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relevant to this product.</w:t>
            </w:r>
          </w:p>
        </w:tc>
      </w:tr>
      <w:tr w:rsidR="00945DEB" w:rsidRPr="00250555" w:rsidTr="00945DEB">
        <w:trPr>
          <w:trHeight w:val="728"/>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1194.23(k1)</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Products which have mechanically operated controls or keys shall comply with the following: Controls and Keys shall be tactilely discernible without activating the controls or keys.</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a hardware product.</w:t>
            </w:r>
          </w:p>
        </w:tc>
      </w:tr>
      <w:tr w:rsidR="00945DEB" w:rsidRPr="00250555" w:rsidTr="00945DEB">
        <w:trPr>
          <w:trHeight w:val="1232"/>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1194.23(k2)</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a hardware product.</w:t>
            </w:r>
          </w:p>
        </w:tc>
      </w:tr>
      <w:tr w:rsidR="00945DEB" w:rsidRPr="00250555" w:rsidTr="00945DEB">
        <w:trPr>
          <w:trHeight w:val="1268"/>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lastRenderedPageBreak/>
              <w:t>1194.23(k3)</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Products which have mechanically operated controls or keys shall comply with the following: If key repeat is supported, the delay before repeat shall be adjustable to at least 2 seconds. Key repeat rate shall be adjustable to 2 seconds per character.</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a hardware product.</w:t>
            </w:r>
          </w:p>
        </w:tc>
      </w:tr>
      <w:tr w:rsidR="00945DEB" w:rsidRPr="00250555" w:rsidTr="00945DEB">
        <w:trPr>
          <w:trHeight w:val="1070"/>
        </w:trPr>
        <w:tc>
          <w:tcPr>
            <w:tcW w:w="1635" w:type="dxa"/>
            <w:tcBorders>
              <w:top w:val="nil"/>
              <w:left w:val="single" w:sz="4" w:space="0" w:color="auto"/>
              <w:bottom w:val="single" w:sz="4" w:space="0" w:color="auto"/>
              <w:right w:val="single" w:sz="4" w:space="0" w:color="auto"/>
            </w:tcBorders>
            <w:shd w:val="clear" w:color="auto" w:fill="auto"/>
            <w:noWrap/>
          </w:tcPr>
          <w:p w:rsidR="00945DEB" w:rsidRPr="00250555" w:rsidRDefault="00945DEB" w:rsidP="00945DEB">
            <w:pPr>
              <w:rPr>
                <w:rFonts w:cs="Arial"/>
                <w:sz w:val="20"/>
                <w:szCs w:val="20"/>
              </w:rPr>
            </w:pPr>
            <w:r w:rsidRPr="00250555">
              <w:rPr>
                <w:rFonts w:cs="Arial"/>
                <w:sz w:val="20"/>
                <w:szCs w:val="20"/>
              </w:rPr>
              <w:t>1194.23(k4)</w:t>
            </w:r>
          </w:p>
        </w:tc>
        <w:tc>
          <w:tcPr>
            <w:tcW w:w="5670" w:type="dxa"/>
            <w:tcBorders>
              <w:top w:val="nil"/>
              <w:left w:val="nil"/>
              <w:bottom w:val="single" w:sz="4" w:space="0" w:color="auto"/>
              <w:right w:val="single" w:sz="4" w:space="0" w:color="auto"/>
            </w:tcBorders>
            <w:shd w:val="clear" w:color="auto" w:fill="auto"/>
          </w:tcPr>
          <w:p w:rsidR="00945DEB" w:rsidRPr="00250555" w:rsidRDefault="00945DEB" w:rsidP="00945DEB">
            <w:pPr>
              <w:rPr>
                <w:rFonts w:cs="Arial"/>
                <w:sz w:val="20"/>
                <w:szCs w:val="20"/>
              </w:rPr>
            </w:pPr>
            <w:r w:rsidRPr="00250555">
              <w:rPr>
                <w:rFonts w:cs="Arial"/>
                <w:sz w:val="20"/>
                <w:szCs w:val="20"/>
              </w:rPr>
              <w:t>Products which have mechanically operated controls or keys shall comply with the following: The status of all locking or toggle controls or keys shall be visually discernible, and discernible either through touch or sound.</w:t>
            </w:r>
          </w:p>
        </w:tc>
        <w:tc>
          <w:tcPr>
            <w:tcW w:w="2250" w:type="dxa"/>
            <w:tcBorders>
              <w:top w:val="nil"/>
              <w:left w:val="nil"/>
              <w:bottom w:val="single" w:sz="4" w:space="0" w:color="auto"/>
              <w:right w:val="single" w:sz="4" w:space="0" w:color="auto"/>
            </w:tcBorders>
            <w:shd w:val="clear" w:color="auto" w:fill="auto"/>
          </w:tcPr>
          <w:p w:rsidR="00945DEB" w:rsidRPr="00C51A20" w:rsidRDefault="00945DEB" w:rsidP="00945DEB">
            <w:pPr>
              <w:rPr>
                <w:rFonts w:cs="Arial"/>
                <w:sz w:val="20"/>
                <w:szCs w:val="20"/>
              </w:rPr>
            </w:pPr>
            <w:r w:rsidRPr="00C51A20">
              <w:rPr>
                <w:rFonts w:cs="Arial"/>
                <w:sz w:val="20"/>
                <w:szCs w:val="20"/>
              </w:rPr>
              <w:t>Not Applicable</w:t>
            </w:r>
          </w:p>
        </w:tc>
        <w:tc>
          <w:tcPr>
            <w:tcW w:w="2880" w:type="dxa"/>
            <w:tcBorders>
              <w:top w:val="nil"/>
              <w:left w:val="nil"/>
              <w:bottom w:val="single" w:sz="4" w:space="0" w:color="auto"/>
              <w:right w:val="single" w:sz="4" w:space="0" w:color="auto"/>
            </w:tcBorders>
            <w:shd w:val="clear" w:color="auto" w:fill="auto"/>
          </w:tcPr>
          <w:p w:rsidR="00945DEB" w:rsidRDefault="00945DEB" w:rsidP="00945DEB">
            <w:pPr>
              <w:rPr>
                <w:rFonts w:cs="Arial"/>
                <w:sz w:val="20"/>
                <w:szCs w:val="20"/>
              </w:rPr>
            </w:pPr>
            <w:r>
              <w:rPr>
                <w:rFonts w:cs="Arial"/>
                <w:sz w:val="20"/>
                <w:szCs w:val="20"/>
              </w:rPr>
              <w:t>Not a hardware product.</w:t>
            </w:r>
          </w:p>
        </w:tc>
      </w:tr>
    </w:tbl>
    <w:p w:rsidR="00C566CF" w:rsidRDefault="00C566CF" w:rsidP="00C566CF">
      <w:pPr>
        <w:rPr>
          <w:rFonts w:cs="Arial"/>
        </w:rPr>
      </w:pPr>
      <w:bookmarkStart w:id="13" w:name="videodetails"/>
    </w:p>
    <w:p w:rsidR="0000631D" w:rsidRDefault="0000631D">
      <w:pPr>
        <w:rPr>
          <w:rFonts w:cs="Arial"/>
        </w:rPr>
      </w:pPr>
      <w:r>
        <w:rPr>
          <w:rFonts w:cs="Arial"/>
        </w:rPr>
        <w:br w:type="page"/>
      </w:r>
    </w:p>
    <w:bookmarkEnd w:id="13"/>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4" w:name="Title_9"/>
            <w:bookmarkEnd w:id="14"/>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6B7E26" w:rsidRPr="00250555" w:rsidTr="009437F0">
        <w:trPr>
          <w:trHeight w:val="765"/>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1194.31(a)</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880" w:type="dxa"/>
            <w:shd w:val="clear" w:color="auto" w:fill="auto"/>
          </w:tcPr>
          <w:p w:rsidR="006B7E26" w:rsidRPr="00250555" w:rsidRDefault="006B7E26" w:rsidP="006B7E26">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6B7E26" w:rsidRPr="00250555" w:rsidTr="009437F0">
        <w:trPr>
          <w:trHeight w:val="1020"/>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1194.31(b)</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 with Exceptions</w:t>
            </w:r>
          </w:p>
        </w:tc>
        <w:tc>
          <w:tcPr>
            <w:tcW w:w="2880" w:type="dxa"/>
            <w:shd w:val="clear" w:color="auto" w:fill="auto"/>
          </w:tcPr>
          <w:p w:rsidR="006B7E26" w:rsidRPr="00250555" w:rsidRDefault="006B7E26" w:rsidP="006B7E26">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c</w:t>
            </w:r>
            <w:r>
              <w:rPr>
                <w:rFonts w:cs="Arial"/>
                <w:sz w:val="20"/>
                <w:szCs w:val="20"/>
              </w:rPr>
              <w:t>)(</w:t>
            </w:r>
            <w:r w:rsidRPr="005541AB">
              <w:rPr>
                <w:rFonts w:cs="Arial"/>
                <w:sz w:val="20"/>
                <w:szCs w:val="20"/>
              </w:rPr>
              <w:t>g</w:t>
            </w:r>
            <w:r>
              <w:rPr>
                <w:rFonts w:cs="Arial"/>
                <w:sz w:val="20"/>
                <w:szCs w:val="20"/>
              </w:rPr>
              <w:t>)</w:t>
            </w:r>
          </w:p>
        </w:tc>
      </w:tr>
      <w:tr w:rsidR="006B7E26" w:rsidRPr="00250555" w:rsidTr="009437F0">
        <w:trPr>
          <w:trHeight w:val="765"/>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1194.31(c)</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w:t>
            </w:r>
          </w:p>
        </w:tc>
        <w:tc>
          <w:tcPr>
            <w:tcW w:w="2880" w:type="dxa"/>
            <w:shd w:val="clear" w:color="auto" w:fill="auto"/>
          </w:tcPr>
          <w:p w:rsidR="006B7E26" w:rsidRPr="00250555" w:rsidRDefault="006B7E26" w:rsidP="006B7E26">
            <w:pPr>
              <w:rPr>
                <w:rFonts w:cs="Arial"/>
                <w:sz w:val="20"/>
                <w:szCs w:val="20"/>
              </w:rPr>
            </w:pPr>
          </w:p>
        </w:tc>
      </w:tr>
      <w:tr w:rsidR="006B7E26" w:rsidRPr="00250555" w:rsidTr="009437F0">
        <w:trPr>
          <w:trHeight w:val="765"/>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1194.31(d)</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w:t>
            </w:r>
          </w:p>
        </w:tc>
        <w:tc>
          <w:tcPr>
            <w:tcW w:w="2880" w:type="dxa"/>
            <w:shd w:val="clear" w:color="auto" w:fill="auto"/>
          </w:tcPr>
          <w:p w:rsidR="006B7E26" w:rsidRPr="00250555" w:rsidRDefault="006B7E26" w:rsidP="006B7E26">
            <w:pPr>
              <w:rPr>
                <w:rFonts w:cs="Arial"/>
                <w:sz w:val="20"/>
                <w:szCs w:val="20"/>
              </w:rPr>
            </w:pPr>
          </w:p>
        </w:tc>
      </w:tr>
      <w:tr w:rsidR="006B7E26" w:rsidRPr="00250555" w:rsidTr="009437F0">
        <w:trPr>
          <w:trHeight w:val="765"/>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1194.31(e)</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w:t>
            </w:r>
          </w:p>
        </w:tc>
        <w:tc>
          <w:tcPr>
            <w:tcW w:w="2880" w:type="dxa"/>
            <w:shd w:val="clear" w:color="auto" w:fill="auto"/>
          </w:tcPr>
          <w:p w:rsidR="006B7E26" w:rsidRPr="00250555" w:rsidRDefault="006B7E26" w:rsidP="006B7E26">
            <w:pPr>
              <w:rPr>
                <w:rFonts w:cs="Arial"/>
                <w:sz w:val="20"/>
                <w:szCs w:val="20"/>
              </w:rPr>
            </w:pPr>
          </w:p>
        </w:tc>
      </w:tr>
      <w:tr w:rsidR="006B7E26" w:rsidRPr="00250555" w:rsidTr="009437F0">
        <w:trPr>
          <w:trHeight w:val="765"/>
        </w:trPr>
        <w:tc>
          <w:tcPr>
            <w:tcW w:w="1350" w:type="dxa"/>
            <w:shd w:val="clear" w:color="auto" w:fill="auto"/>
          </w:tcPr>
          <w:p w:rsidR="006B7E26" w:rsidRPr="00250555" w:rsidRDefault="006B7E26" w:rsidP="006B7E26">
            <w:pPr>
              <w:rPr>
                <w:rFonts w:cs="Arial"/>
                <w:sz w:val="20"/>
                <w:szCs w:val="20"/>
              </w:rPr>
            </w:pPr>
            <w:r w:rsidRPr="00250555">
              <w:rPr>
                <w:rFonts w:cs="Arial"/>
                <w:sz w:val="20"/>
                <w:szCs w:val="20"/>
              </w:rPr>
              <w:t>1194.31(f)</w:t>
            </w:r>
          </w:p>
        </w:tc>
        <w:tc>
          <w:tcPr>
            <w:tcW w:w="5940" w:type="dxa"/>
            <w:shd w:val="clear" w:color="auto" w:fill="auto"/>
          </w:tcPr>
          <w:p w:rsidR="006B7E26" w:rsidRPr="00250555" w:rsidRDefault="006B7E26" w:rsidP="006B7E2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6B7E26" w:rsidRPr="00250555" w:rsidRDefault="006B7E26" w:rsidP="006B7E26">
            <w:pPr>
              <w:rPr>
                <w:rFonts w:cs="Arial"/>
                <w:sz w:val="20"/>
                <w:szCs w:val="20"/>
              </w:rPr>
            </w:pPr>
            <w:r>
              <w:rPr>
                <w:rFonts w:cs="Arial"/>
                <w:sz w:val="20"/>
                <w:szCs w:val="20"/>
              </w:rPr>
              <w:t>Supports</w:t>
            </w:r>
          </w:p>
        </w:tc>
        <w:tc>
          <w:tcPr>
            <w:tcW w:w="2880" w:type="dxa"/>
            <w:shd w:val="clear" w:color="auto" w:fill="auto"/>
          </w:tcPr>
          <w:p w:rsidR="006B7E26" w:rsidRPr="00250555" w:rsidRDefault="006B7E26" w:rsidP="006B7E2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5" w:name="RANGE!A34"/>
            <w:bookmarkEnd w:id="15"/>
            <w:r w:rsidRPr="00250555">
              <w:rPr>
                <w:rFonts w:cs="Arial"/>
                <w:b/>
                <w:bCs/>
                <w:color w:val="FFFFFF"/>
                <w:sz w:val="20"/>
                <w:szCs w:val="20"/>
              </w:rPr>
              <w:t>Clause</w:t>
            </w:r>
            <w:bookmarkStart w:id="16" w:name="Title_10"/>
            <w:bookmarkEnd w:id="16"/>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7" w:name="_Supporting_Feature_(Status)"/>
      <w:bookmarkEnd w:id="17"/>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8" w:name="Title_11"/>
            <w:bookmarkEnd w:id="18"/>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2D" w:rsidRDefault="00CB1A2D">
      <w:r>
        <w:separator/>
      </w:r>
    </w:p>
  </w:endnote>
  <w:endnote w:type="continuationSeparator" w:id="0">
    <w:p w:rsidR="00CB1A2D" w:rsidRDefault="00CB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D6146F">
      <w:rPr>
        <w:sz w:val="18"/>
        <w:szCs w:val="18"/>
      </w:rPr>
      <w:t>: October 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2D" w:rsidRDefault="00CB1A2D">
      <w:r>
        <w:separator/>
      </w:r>
    </w:p>
  </w:footnote>
  <w:footnote w:type="continuationSeparator" w:id="0">
    <w:p w:rsidR="00CB1A2D" w:rsidRDefault="00CB1A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63C5"/>
    <w:rsid w:val="00237BD2"/>
    <w:rsid w:val="00250555"/>
    <w:rsid w:val="00254CC1"/>
    <w:rsid w:val="00261CD1"/>
    <w:rsid w:val="00262235"/>
    <w:rsid w:val="0026525A"/>
    <w:rsid w:val="002661BC"/>
    <w:rsid w:val="00277DD9"/>
    <w:rsid w:val="0028065A"/>
    <w:rsid w:val="00282BF6"/>
    <w:rsid w:val="00294F25"/>
    <w:rsid w:val="002A30DA"/>
    <w:rsid w:val="002A4285"/>
    <w:rsid w:val="002A5E4F"/>
    <w:rsid w:val="002B54B0"/>
    <w:rsid w:val="002C0D62"/>
    <w:rsid w:val="002C62D5"/>
    <w:rsid w:val="002D324F"/>
    <w:rsid w:val="002F10F8"/>
    <w:rsid w:val="002F30D7"/>
    <w:rsid w:val="002F6AA5"/>
    <w:rsid w:val="00302048"/>
    <w:rsid w:val="003110C9"/>
    <w:rsid w:val="003145DC"/>
    <w:rsid w:val="00327705"/>
    <w:rsid w:val="0034006D"/>
    <w:rsid w:val="00352E89"/>
    <w:rsid w:val="003542D4"/>
    <w:rsid w:val="00355D69"/>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492A"/>
    <w:rsid w:val="00432401"/>
    <w:rsid w:val="0043681B"/>
    <w:rsid w:val="004376C6"/>
    <w:rsid w:val="004410AA"/>
    <w:rsid w:val="00441EB5"/>
    <w:rsid w:val="00446EEC"/>
    <w:rsid w:val="004559F4"/>
    <w:rsid w:val="00456C12"/>
    <w:rsid w:val="00460046"/>
    <w:rsid w:val="00465612"/>
    <w:rsid w:val="00466466"/>
    <w:rsid w:val="00480ADC"/>
    <w:rsid w:val="00482C76"/>
    <w:rsid w:val="004959F2"/>
    <w:rsid w:val="004A0805"/>
    <w:rsid w:val="004A0F03"/>
    <w:rsid w:val="004A3543"/>
    <w:rsid w:val="004B0FD3"/>
    <w:rsid w:val="004B1788"/>
    <w:rsid w:val="004B306E"/>
    <w:rsid w:val="004B755A"/>
    <w:rsid w:val="004C3FD1"/>
    <w:rsid w:val="004C6678"/>
    <w:rsid w:val="004D3E59"/>
    <w:rsid w:val="004D537A"/>
    <w:rsid w:val="004D53F5"/>
    <w:rsid w:val="004E227D"/>
    <w:rsid w:val="004E46F3"/>
    <w:rsid w:val="004E4AFA"/>
    <w:rsid w:val="004F0849"/>
    <w:rsid w:val="004F0FFD"/>
    <w:rsid w:val="004F7259"/>
    <w:rsid w:val="004F7FF8"/>
    <w:rsid w:val="00511294"/>
    <w:rsid w:val="0051693F"/>
    <w:rsid w:val="00524712"/>
    <w:rsid w:val="00526364"/>
    <w:rsid w:val="0052641F"/>
    <w:rsid w:val="00526A40"/>
    <w:rsid w:val="00532507"/>
    <w:rsid w:val="00546CF9"/>
    <w:rsid w:val="00547C3D"/>
    <w:rsid w:val="0055064B"/>
    <w:rsid w:val="0055152C"/>
    <w:rsid w:val="00556966"/>
    <w:rsid w:val="00565AC6"/>
    <w:rsid w:val="00566F84"/>
    <w:rsid w:val="00576DE2"/>
    <w:rsid w:val="0058464E"/>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5E3B"/>
    <w:rsid w:val="005E73F7"/>
    <w:rsid w:val="006050B4"/>
    <w:rsid w:val="00611FAF"/>
    <w:rsid w:val="00621FB4"/>
    <w:rsid w:val="006334F1"/>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4952"/>
    <w:rsid w:val="006A4F39"/>
    <w:rsid w:val="006A7B2D"/>
    <w:rsid w:val="006B5348"/>
    <w:rsid w:val="006B7E26"/>
    <w:rsid w:val="006B7E40"/>
    <w:rsid w:val="006C0F54"/>
    <w:rsid w:val="006C1FEE"/>
    <w:rsid w:val="006C32C9"/>
    <w:rsid w:val="006C4F2A"/>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517B3"/>
    <w:rsid w:val="00854F2E"/>
    <w:rsid w:val="008553FE"/>
    <w:rsid w:val="00856A80"/>
    <w:rsid w:val="008734B2"/>
    <w:rsid w:val="008753E9"/>
    <w:rsid w:val="00876542"/>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5FF1"/>
    <w:rsid w:val="00911A65"/>
    <w:rsid w:val="0091721E"/>
    <w:rsid w:val="009223A6"/>
    <w:rsid w:val="00925EB8"/>
    <w:rsid w:val="00936AB2"/>
    <w:rsid w:val="00937F7C"/>
    <w:rsid w:val="009437F0"/>
    <w:rsid w:val="00945DEB"/>
    <w:rsid w:val="009464DF"/>
    <w:rsid w:val="00957A1B"/>
    <w:rsid w:val="0096087A"/>
    <w:rsid w:val="00960A9D"/>
    <w:rsid w:val="00970DD2"/>
    <w:rsid w:val="0097136F"/>
    <w:rsid w:val="00973618"/>
    <w:rsid w:val="00975518"/>
    <w:rsid w:val="00992A46"/>
    <w:rsid w:val="009957DD"/>
    <w:rsid w:val="009A083A"/>
    <w:rsid w:val="009A1E5F"/>
    <w:rsid w:val="009A5E65"/>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077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5701"/>
    <w:rsid w:val="00B80443"/>
    <w:rsid w:val="00B80BCF"/>
    <w:rsid w:val="00B84AA8"/>
    <w:rsid w:val="00B90EEF"/>
    <w:rsid w:val="00B90F71"/>
    <w:rsid w:val="00BA50EE"/>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1A2D"/>
    <w:rsid w:val="00CB4A2F"/>
    <w:rsid w:val="00CC086E"/>
    <w:rsid w:val="00CC3DBF"/>
    <w:rsid w:val="00CE234F"/>
    <w:rsid w:val="00CE4339"/>
    <w:rsid w:val="00D104C2"/>
    <w:rsid w:val="00D10A95"/>
    <w:rsid w:val="00D11D9A"/>
    <w:rsid w:val="00D15407"/>
    <w:rsid w:val="00D17733"/>
    <w:rsid w:val="00D212F9"/>
    <w:rsid w:val="00D221D7"/>
    <w:rsid w:val="00D23F51"/>
    <w:rsid w:val="00D2679B"/>
    <w:rsid w:val="00D30CEA"/>
    <w:rsid w:val="00D30D72"/>
    <w:rsid w:val="00D41FE8"/>
    <w:rsid w:val="00D60E50"/>
    <w:rsid w:val="00D6146F"/>
    <w:rsid w:val="00D63772"/>
    <w:rsid w:val="00D64FEC"/>
    <w:rsid w:val="00D67CA7"/>
    <w:rsid w:val="00D70BB0"/>
    <w:rsid w:val="00D71426"/>
    <w:rsid w:val="00D74B5D"/>
    <w:rsid w:val="00D76708"/>
    <w:rsid w:val="00D7728D"/>
    <w:rsid w:val="00D80758"/>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620D"/>
    <w:rsid w:val="00F56B45"/>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3753A-7506-4B9D-85DE-87992A999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2254</Words>
  <Characters>12764</Characters>
  <Application>Microsoft Office Word</Application>
  <DocSecurity>0</DocSecurity>
  <Lines>580</Lines>
  <Paragraphs>385</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14633</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WebEx Support Center Agent WBS31</dc:title>
  <dc:subject/>
  <dc:creator>Cisco Systems, Inc.</dc:creator>
  <cp:keywords/>
  <dc:description/>
  <cp:lastModifiedBy>Luan Le (luanle)</cp:lastModifiedBy>
  <cp:revision>2</cp:revision>
  <cp:lastPrinted>2016-10-04T19:29:00Z</cp:lastPrinted>
  <dcterms:created xsi:type="dcterms:W3CDTF">2016-10-25T18:50:00Z</dcterms:created>
  <dcterms:modified xsi:type="dcterms:W3CDTF">2016-10-25T18:50:00Z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